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FA" w:rsidRDefault="0087799A" w:rsidP="0087799A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PRELIMINARE DI VENDITA DI IMMOBILE</w:t>
      </w:r>
    </w:p>
    <w:p w:rsidR="0087799A" w:rsidRDefault="0087799A" w:rsidP="0087799A">
      <w:pPr>
        <w:ind w:right="1133"/>
        <w:jc w:val="center"/>
        <w:rPr>
          <w:b/>
          <w:sz w:val="28"/>
          <w:szCs w:val="28"/>
        </w:rPr>
      </w:pPr>
    </w:p>
    <w:p w:rsidR="0087799A" w:rsidRDefault="0087799A" w:rsidP="0087799A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seguito all’inadempimento del preliminare di acquisto di un immobile per mancato ottenimento del mutuo, la </w:t>
      </w:r>
      <w:r w:rsidR="00B11EDE">
        <w:rPr>
          <w:sz w:val="24"/>
          <w:szCs w:val="24"/>
        </w:rPr>
        <w:t xml:space="preserve">promissaria </w:t>
      </w:r>
      <w:r>
        <w:rPr>
          <w:sz w:val="24"/>
          <w:szCs w:val="24"/>
        </w:rPr>
        <w:t xml:space="preserve">acquirente richiedeva la restituzione della caparra. </w:t>
      </w:r>
    </w:p>
    <w:p w:rsidR="0087799A" w:rsidRDefault="0087799A" w:rsidP="0087799A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Corte di Appello accoglieva la domanda di restituzione dell’acconto/caparra, ritenendo che il contratto si fosse sciolto per </w:t>
      </w:r>
      <w:r w:rsidR="00B11EDE">
        <w:rPr>
          <w:sz w:val="24"/>
          <w:szCs w:val="24"/>
        </w:rPr>
        <w:t xml:space="preserve">mutuo dissenso, </w:t>
      </w:r>
      <w:r>
        <w:rPr>
          <w:sz w:val="24"/>
          <w:szCs w:val="24"/>
        </w:rPr>
        <w:t>in ragione del comportamento delle parti.</w:t>
      </w:r>
    </w:p>
    <w:p w:rsidR="0087799A" w:rsidRDefault="0087799A" w:rsidP="0087799A">
      <w:pPr>
        <w:spacing w:after="0" w:line="360" w:lineRule="auto"/>
        <w:ind w:right="1133"/>
        <w:jc w:val="both"/>
        <w:rPr>
          <w:sz w:val="24"/>
          <w:szCs w:val="24"/>
        </w:rPr>
      </w:pPr>
      <w:r>
        <w:rPr>
          <w:sz w:val="24"/>
          <w:szCs w:val="24"/>
        </w:rPr>
        <w:t>La corte di Cassazione, invece, respingeva la domanda di restituzione della caparra</w:t>
      </w:r>
      <w:r w:rsidR="00B11EDE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perché la risoluzione consensuale del contratto, doveva avere la forma scritta, quale requisito formale inderogabile.</w:t>
      </w:r>
    </w:p>
    <w:p w:rsidR="0087799A" w:rsidRDefault="0087799A" w:rsidP="0087799A">
      <w:pPr>
        <w:spacing w:after="0" w:line="360" w:lineRule="auto"/>
        <w:ind w:right="1133"/>
        <w:jc w:val="both"/>
        <w:rPr>
          <w:sz w:val="24"/>
          <w:szCs w:val="24"/>
        </w:rPr>
      </w:pPr>
    </w:p>
    <w:p w:rsidR="0087799A" w:rsidRDefault="0087799A" w:rsidP="0087799A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STUDIO LEGALE</w:t>
      </w:r>
    </w:p>
    <w:p w:rsidR="0087799A" w:rsidRDefault="0087799A" w:rsidP="0087799A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MANCUSI-PERSICO &amp; ASSOCIATI</w:t>
      </w:r>
    </w:p>
    <w:p w:rsidR="0087799A" w:rsidRPr="0087799A" w:rsidRDefault="0087799A" w:rsidP="0087799A">
      <w:pPr>
        <w:spacing w:after="0" w:line="360" w:lineRule="auto"/>
        <w:ind w:right="1133"/>
        <w:jc w:val="center"/>
        <w:rPr>
          <w:sz w:val="24"/>
          <w:szCs w:val="24"/>
        </w:rPr>
      </w:pPr>
      <w:r>
        <w:rPr>
          <w:sz w:val="24"/>
          <w:szCs w:val="24"/>
        </w:rPr>
        <w:t>Avv. Piero Mancusi</w:t>
      </w:r>
    </w:p>
    <w:sectPr w:rsidR="0087799A" w:rsidRPr="00877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9A"/>
    <w:rsid w:val="007375FA"/>
    <w:rsid w:val="0087799A"/>
    <w:rsid w:val="00B1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9A42-FE91-4E72-923E-009F86AA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2022-06-27T09:27:00Z</dcterms:created>
  <dcterms:modified xsi:type="dcterms:W3CDTF">2022-06-27T09:36:00Z</dcterms:modified>
</cp:coreProperties>
</file>